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9D" w:rsidRPr="00645658" w:rsidRDefault="002C569D" w:rsidP="002C569D">
      <w:pPr>
        <w:spacing w:after="0" w:line="240" w:lineRule="auto"/>
        <w:jc w:val="center"/>
        <w:rPr>
          <w:rFonts w:cstheme="minorHAnsi"/>
          <w:b/>
          <w:sz w:val="20"/>
          <w:szCs w:val="20"/>
        </w:rPr>
      </w:pPr>
      <w:r w:rsidRPr="00645658">
        <w:rPr>
          <w:rFonts w:cstheme="minorHAnsi"/>
          <w:b/>
          <w:sz w:val="20"/>
          <w:szCs w:val="20"/>
        </w:rPr>
        <w:t>Technology Development Fund</w:t>
      </w:r>
    </w:p>
    <w:p w:rsidR="002C569D" w:rsidRPr="00645658" w:rsidRDefault="0039449E" w:rsidP="002C569D">
      <w:pPr>
        <w:spacing w:after="0" w:line="240" w:lineRule="auto"/>
        <w:jc w:val="center"/>
        <w:rPr>
          <w:rFonts w:cstheme="minorHAnsi"/>
          <w:b/>
          <w:sz w:val="20"/>
          <w:szCs w:val="20"/>
        </w:rPr>
      </w:pPr>
      <w:r>
        <w:rPr>
          <w:rFonts w:cstheme="minorHAnsi"/>
          <w:b/>
          <w:sz w:val="20"/>
          <w:szCs w:val="20"/>
        </w:rPr>
        <w:t>2020</w:t>
      </w:r>
      <w:r w:rsidR="00982A08" w:rsidRPr="00645658">
        <w:rPr>
          <w:rFonts w:cstheme="minorHAnsi"/>
          <w:b/>
          <w:sz w:val="20"/>
          <w:szCs w:val="20"/>
        </w:rPr>
        <w:t xml:space="preserve"> </w:t>
      </w:r>
      <w:r w:rsidR="002C569D" w:rsidRPr="00645658">
        <w:rPr>
          <w:rFonts w:cstheme="minorHAnsi"/>
          <w:b/>
          <w:sz w:val="20"/>
          <w:szCs w:val="20"/>
        </w:rPr>
        <w:t>Policies and Guidelines</w:t>
      </w:r>
    </w:p>
    <w:p w:rsidR="002C569D" w:rsidRPr="00645658" w:rsidRDefault="002C569D" w:rsidP="002C569D">
      <w:pPr>
        <w:spacing w:after="0" w:line="240" w:lineRule="auto"/>
        <w:rPr>
          <w:rFonts w:cstheme="minorHAnsi"/>
          <w:sz w:val="20"/>
          <w:szCs w:val="20"/>
        </w:rPr>
      </w:pPr>
    </w:p>
    <w:p w:rsidR="002C569D" w:rsidRPr="00645658" w:rsidRDefault="002C569D" w:rsidP="002C569D">
      <w:pPr>
        <w:spacing w:after="0" w:line="240" w:lineRule="auto"/>
        <w:rPr>
          <w:rFonts w:cstheme="minorHAnsi"/>
          <w:sz w:val="20"/>
          <w:szCs w:val="20"/>
        </w:rPr>
      </w:pPr>
      <w:r w:rsidRPr="00645658">
        <w:rPr>
          <w:rFonts w:cstheme="minorHAnsi"/>
          <w:sz w:val="20"/>
          <w:szCs w:val="20"/>
        </w:rPr>
        <w:t xml:space="preserve">Participation in the Technology Development Fund (TDF) funding process and acceptance of an award from the Technology Development Fund at </w:t>
      </w:r>
      <w:r w:rsidR="00D95D37" w:rsidRPr="00645658">
        <w:rPr>
          <w:rFonts w:cstheme="minorHAnsi"/>
          <w:sz w:val="20"/>
          <w:szCs w:val="20"/>
        </w:rPr>
        <w:t xml:space="preserve">Boston </w:t>
      </w:r>
      <w:r w:rsidRPr="00645658">
        <w:rPr>
          <w:rFonts w:cstheme="minorHAnsi"/>
          <w:sz w:val="20"/>
          <w:szCs w:val="20"/>
        </w:rPr>
        <w:t>Children’s Hospital assumes acceptance of and compliance with the following guidelines and policies.</w:t>
      </w:r>
    </w:p>
    <w:p w:rsidR="002C569D" w:rsidRPr="00645658" w:rsidRDefault="002C569D" w:rsidP="002C569D">
      <w:pPr>
        <w:spacing w:after="0" w:line="240" w:lineRule="auto"/>
        <w:rPr>
          <w:rFonts w:cstheme="minorHAnsi"/>
          <w:sz w:val="20"/>
          <w:szCs w:val="20"/>
        </w:rPr>
      </w:pPr>
    </w:p>
    <w:p w:rsidR="002C569D" w:rsidRPr="00645658" w:rsidRDefault="002C569D" w:rsidP="002C569D">
      <w:pPr>
        <w:tabs>
          <w:tab w:val="left" w:pos="0"/>
        </w:tabs>
        <w:spacing w:after="0" w:line="240" w:lineRule="auto"/>
        <w:jc w:val="both"/>
        <w:rPr>
          <w:rFonts w:cstheme="minorHAnsi"/>
          <w:b/>
          <w:sz w:val="20"/>
          <w:szCs w:val="20"/>
        </w:rPr>
      </w:pPr>
      <w:r w:rsidRPr="00645658">
        <w:rPr>
          <w:rFonts w:cstheme="minorHAnsi"/>
          <w:b/>
          <w:sz w:val="20"/>
          <w:szCs w:val="20"/>
        </w:rPr>
        <w:t>Eligibility:</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To be eligible for a TDF award, the following criteria must apply:</w:t>
      </w:r>
    </w:p>
    <w:p w:rsidR="002C569D" w:rsidRPr="00645658" w:rsidRDefault="002C569D" w:rsidP="002C569D">
      <w:pPr>
        <w:pStyle w:val="ListParagraph"/>
        <w:numPr>
          <w:ilvl w:val="1"/>
          <w:numId w:val="2"/>
        </w:numPr>
        <w:spacing w:after="0" w:line="240" w:lineRule="auto"/>
        <w:rPr>
          <w:rFonts w:cstheme="minorHAnsi"/>
          <w:sz w:val="20"/>
          <w:szCs w:val="20"/>
        </w:rPr>
      </w:pPr>
      <w:r w:rsidRPr="00645658">
        <w:rPr>
          <w:rFonts w:cstheme="minorHAnsi"/>
          <w:sz w:val="20"/>
          <w:szCs w:val="20"/>
        </w:rPr>
        <w:t xml:space="preserve">Applicant is a </w:t>
      </w:r>
      <w:r w:rsidR="00D95D37" w:rsidRPr="00645658">
        <w:rPr>
          <w:rFonts w:cstheme="minorHAnsi"/>
          <w:sz w:val="20"/>
          <w:szCs w:val="20"/>
        </w:rPr>
        <w:t>BCH</w:t>
      </w:r>
      <w:r w:rsidRPr="00645658">
        <w:rPr>
          <w:rFonts w:cstheme="minorHAnsi"/>
          <w:sz w:val="20"/>
          <w:szCs w:val="20"/>
        </w:rPr>
        <w:t xml:space="preserve"> employee who assigns his/her rights to any invention to </w:t>
      </w:r>
      <w:r w:rsidR="00D95D37" w:rsidRPr="00645658">
        <w:rPr>
          <w:rFonts w:cstheme="minorHAnsi"/>
          <w:sz w:val="20"/>
          <w:szCs w:val="20"/>
        </w:rPr>
        <w:t>BCH</w:t>
      </w:r>
    </w:p>
    <w:p w:rsidR="002C569D" w:rsidRPr="00645658" w:rsidRDefault="002C569D" w:rsidP="00A112D6">
      <w:pPr>
        <w:pStyle w:val="ListParagraph"/>
        <w:numPr>
          <w:ilvl w:val="1"/>
          <w:numId w:val="2"/>
        </w:numPr>
        <w:spacing w:after="0" w:line="240" w:lineRule="auto"/>
        <w:rPr>
          <w:rFonts w:cstheme="minorHAnsi"/>
          <w:sz w:val="20"/>
          <w:szCs w:val="20"/>
        </w:rPr>
      </w:pPr>
      <w:r w:rsidRPr="00645658">
        <w:rPr>
          <w:rFonts w:cstheme="minorHAnsi"/>
          <w:sz w:val="20"/>
          <w:szCs w:val="20"/>
        </w:rPr>
        <w:t>The</w:t>
      </w:r>
      <w:r w:rsidR="00A112D6">
        <w:rPr>
          <w:rFonts w:cstheme="minorHAnsi"/>
          <w:sz w:val="20"/>
          <w:szCs w:val="20"/>
        </w:rPr>
        <w:t xml:space="preserve"> intellectual</w:t>
      </w:r>
      <w:r w:rsidR="00A112D6" w:rsidRPr="00A112D6">
        <w:rPr>
          <w:rFonts w:cstheme="minorHAnsi"/>
          <w:sz w:val="20"/>
          <w:szCs w:val="20"/>
        </w:rPr>
        <w:t xml:space="preserve"> property</w:t>
      </w:r>
      <w:r w:rsidR="00A112D6">
        <w:rPr>
          <w:rFonts w:cstheme="minorHAnsi"/>
          <w:sz w:val="20"/>
          <w:szCs w:val="20"/>
        </w:rPr>
        <w:t xml:space="preserve"> around the</w:t>
      </w:r>
      <w:r w:rsidRPr="00645658">
        <w:rPr>
          <w:rFonts w:cstheme="minorHAnsi"/>
          <w:sz w:val="20"/>
          <w:szCs w:val="20"/>
        </w:rPr>
        <w:t xml:space="preserve"> technology is owned by </w:t>
      </w:r>
      <w:r w:rsidR="00D95D37" w:rsidRPr="00645658">
        <w:rPr>
          <w:rFonts w:cstheme="minorHAnsi"/>
          <w:sz w:val="20"/>
          <w:szCs w:val="20"/>
        </w:rPr>
        <w:t>BCH</w:t>
      </w:r>
      <w:r w:rsidRPr="00645658">
        <w:rPr>
          <w:rFonts w:cstheme="minorHAnsi"/>
          <w:sz w:val="20"/>
          <w:szCs w:val="20"/>
        </w:rPr>
        <w:t xml:space="preserve"> and is not optioned, licensed or otherwise committed to a commercial entity (MTA or other agreement)</w:t>
      </w:r>
    </w:p>
    <w:p w:rsidR="002C569D" w:rsidRPr="00645658" w:rsidRDefault="002C569D" w:rsidP="002C569D">
      <w:pPr>
        <w:pStyle w:val="ListParagraph"/>
        <w:numPr>
          <w:ilvl w:val="1"/>
          <w:numId w:val="2"/>
        </w:numPr>
        <w:spacing w:after="0" w:line="240" w:lineRule="auto"/>
        <w:rPr>
          <w:rFonts w:cstheme="minorHAnsi"/>
          <w:sz w:val="20"/>
          <w:szCs w:val="20"/>
        </w:rPr>
      </w:pPr>
      <w:r w:rsidRPr="00645658">
        <w:rPr>
          <w:rFonts w:cstheme="minorHAnsi"/>
          <w:sz w:val="20"/>
          <w:szCs w:val="20"/>
        </w:rPr>
        <w:t>The applicant has filed an invention disclosure with the TIDO office</w:t>
      </w:r>
    </w:p>
    <w:p w:rsidR="00673A25"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TDF awards are intended to fund work that supports the advancement of technology, intellectual property and technical validation. A</w:t>
      </w:r>
      <w:r w:rsidR="00673A25" w:rsidRPr="00645658">
        <w:rPr>
          <w:rFonts w:cstheme="minorHAnsi"/>
          <w:sz w:val="20"/>
          <w:szCs w:val="20"/>
        </w:rPr>
        <w:t>pproximately</w:t>
      </w:r>
      <w:r w:rsidRPr="00645658">
        <w:rPr>
          <w:rFonts w:cstheme="minorHAnsi"/>
          <w:sz w:val="20"/>
          <w:szCs w:val="20"/>
        </w:rPr>
        <w:t xml:space="preserve"> 70% of the funding should be spent outside of the PI’s laboratory. </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 xml:space="preserve">Funds cannot be applied towards the purchase of equipment, computers, travel, or Principal Investigator salary support at BCH or </w:t>
      </w:r>
      <w:r w:rsidR="00A112D6">
        <w:rPr>
          <w:rFonts w:cstheme="minorHAnsi"/>
          <w:sz w:val="20"/>
          <w:szCs w:val="20"/>
        </w:rPr>
        <w:t xml:space="preserve">salaries of </w:t>
      </w:r>
      <w:r w:rsidRPr="00645658">
        <w:rPr>
          <w:rFonts w:cstheme="minorHAnsi"/>
          <w:sz w:val="20"/>
          <w:szCs w:val="20"/>
        </w:rPr>
        <w:t>collaborator</w:t>
      </w:r>
      <w:r w:rsidR="00A112D6">
        <w:rPr>
          <w:rFonts w:cstheme="minorHAnsi"/>
          <w:sz w:val="20"/>
          <w:szCs w:val="20"/>
        </w:rPr>
        <w:t>s</w:t>
      </w:r>
      <w:r w:rsidRPr="00645658">
        <w:rPr>
          <w:rFonts w:cstheme="minorHAnsi"/>
          <w:sz w:val="20"/>
          <w:szCs w:val="20"/>
        </w:rPr>
        <w:t xml:space="preserve"> at other institution</w:t>
      </w:r>
      <w:r w:rsidR="00A112D6">
        <w:rPr>
          <w:rFonts w:cstheme="minorHAnsi"/>
          <w:sz w:val="20"/>
          <w:szCs w:val="20"/>
        </w:rPr>
        <w:t>s</w:t>
      </w:r>
      <w:r w:rsidRPr="00645658">
        <w:rPr>
          <w:rFonts w:cstheme="minorHAnsi"/>
          <w:sz w:val="20"/>
          <w:szCs w:val="20"/>
        </w:rPr>
        <w:t>.</w:t>
      </w:r>
    </w:p>
    <w:p w:rsidR="002C569D" w:rsidRPr="00645658" w:rsidRDefault="002C569D" w:rsidP="002C569D">
      <w:pPr>
        <w:spacing w:after="0" w:line="240" w:lineRule="auto"/>
        <w:rPr>
          <w:rFonts w:cstheme="minorHAnsi"/>
          <w:b/>
          <w:sz w:val="20"/>
          <w:szCs w:val="20"/>
        </w:rPr>
      </w:pPr>
    </w:p>
    <w:p w:rsidR="002C569D" w:rsidRPr="00645658" w:rsidRDefault="002C569D" w:rsidP="002C569D">
      <w:pPr>
        <w:spacing w:after="0" w:line="240" w:lineRule="auto"/>
        <w:rPr>
          <w:rFonts w:cstheme="minorHAnsi"/>
          <w:b/>
          <w:sz w:val="20"/>
          <w:szCs w:val="20"/>
        </w:rPr>
      </w:pPr>
      <w:r w:rsidRPr="00645658">
        <w:rPr>
          <w:rFonts w:cstheme="minorHAnsi"/>
          <w:b/>
          <w:sz w:val="20"/>
          <w:szCs w:val="20"/>
        </w:rPr>
        <w:t>Application and Selection Process:</w:t>
      </w:r>
    </w:p>
    <w:p w:rsidR="002C569D" w:rsidRPr="00645658" w:rsidRDefault="002C569D" w:rsidP="0039449E">
      <w:pPr>
        <w:pStyle w:val="ListParagraph"/>
        <w:numPr>
          <w:ilvl w:val="0"/>
          <w:numId w:val="2"/>
        </w:numPr>
        <w:spacing w:after="0" w:line="240" w:lineRule="auto"/>
        <w:rPr>
          <w:rFonts w:cstheme="minorHAnsi"/>
          <w:sz w:val="20"/>
          <w:szCs w:val="20"/>
        </w:rPr>
      </w:pPr>
      <w:r w:rsidRPr="00645658">
        <w:rPr>
          <w:rFonts w:cstheme="minorHAnsi"/>
          <w:sz w:val="20"/>
          <w:szCs w:val="20"/>
        </w:rPr>
        <w:t xml:space="preserve">All award applicants must submit a </w:t>
      </w:r>
      <w:r w:rsidR="00673A25" w:rsidRPr="00645658">
        <w:rPr>
          <w:rFonts w:cstheme="minorHAnsi"/>
          <w:sz w:val="20"/>
          <w:szCs w:val="20"/>
        </w:rPr>
        <w:t>letter of intent (LOI)</w:t>
      </w:r>
      <w:r w:rsidRPr="00645658">
        <w:rPr>
          <w:rFonts w:cstheme="minorHAnsi"/>
          <w:sz w:val="20"/>
          <w:szCs w:val="20"/>
        </w:rPr>
        <w:t xml:space="preserve"> using the template provided </w:t>
      </w:r>
      <w:r w:rsidR="00673A25" w:rsidRPr="00645658">
        <w:rPr>
          <w:rFonts w:cstheme="minorHAnsi"/>
          <w:sz w:val="20"/>
          <w:szCs w:val="20"/>
        </w:rPr>
        <w:t>at</w:t>
      </w:r>
      <w:r w:rsidRPr="00645658">
        <w:rPr>
          <w:rFonts w:cstheme="minorHAnsi"/>
          <w:sz w:val="20"/>
          <w:szCs w:val="20"/>
        </w:rPr>
        <w:t xml:space="preserve"> </w:t>
      </w:r>
      <w:hyperlink r:id="rId8" w:history="1">
        <w:r w:rsidR="0039449E" w:rsidRPr="002328AF">
          <w:rPr>
            <w:rStyle w:val="Hyperlink"/>
            <w:rFonts w:asciiTheme="minorHAnsi" w:hAnsiTheme="minorHAnsi"/>
          </w:rPr>
          <w:t>http://tido.childrenshospital.org/technology-development-fund/grants/</w:t>
        </w:r>
      </w:hyperlink>
      <w:r w:rsidR="0039449E">
        <w:t xml:space="preserve"> </w:t>
      </w:r>
      <w:r w:rsidR="00673A25" w:rsidRPr="00645658">
        <w:rPr>
          <w:rFonts w:cstheme="minorHAnsi"/>
          <w:color w:val="0070C0"/>
          <w:sz w:val="20"/>
          <w:szCs w:val="20"/>
        </w:rPr>
        <w:t xml:space="preserve"> </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 xml:space="preserve">Applicants invited to proceed beyond the LOI stage will need to submit a full written proposal and a slide presentation </w:t>
      </w:r>
      <w:r w:rsidR="00673A25" w:rsidRPr="00645658">
        <w:rPr>
          <w:rFonts w:cstheme="minorHAnsi"/>
          <w:sz w:val="20"/>
          <w:szCs w:val="20"/>
        </w:rPr>
        <w:t xml:space="preserve">based on templates provided by </w:t>
      </w:r>
      <w:r w:rsidR="002000C3" w:rsidRPr="00645658">
        <w:rPr>
          <w:rFonts w:cstheme="minorHAnsi"/>
          <w:sz w:val="20"/>
          <w:szCs w:val="20"/>
        </w:rPr>
        <w:t xml:space="preserve">the </w:t>
      </w:r>
      <w:r w:rsidR="00673A25" w:rsidRPr="00645658">
        <w:rPr>
          <w:rFonts w:cstheme="minorHAnsi"/>
          <w:sz w:val="20"/>
          <w:szCs w:val="20"/>
        </w:rPr>
        <w:t>TDF</w:t>
      </w:r>
      <w:r w:rsidR="002000C3" w:rsidRPr="00645658">
        <w:rPr>
          <w:rFonts w:cstheme="minorHAnsi"/>
          <w:sz w:val="20"/>
          <w:szCs w:val="20"/>
        </w:rPr>
        <w:t xml:space="preserve"> team</w:t>
      </w:r>
      <w:r w:rsidR="00673A25" w:rsidRPr="00645658">
        <w:rPr>
          <w:rFonts w:cstheme="minorHAnsi"/>
          <w:sz w:val="20"/>
          <w:szCs w:val="20"/>
        </w:rPr>
        <w:t>.</w:t>
      </w:r>
      <w:r w:rsidRPr="00645658">
        <w:rPr>
          <w:rFonts w:cstheme="minorHAnsi"/>
          <w:sz w:val="20"/>
          <w:szCs w:val="20"/>
        </w:rPr>
        <w:t xml:space="preserve">   </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The proposal should identify the aspects of the projects that will be performed outside of the PI’s laboratory as well as 2-3 contract research organizations (CROs) or service providers with the capabilities to carry out the external part of the project plan.</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The slides will be presented to the external advisory board on the Technology Review day. The TDF team may suggest revisions to both submissions prior to presentation to the board.</w:t>
      </w:r>
    </w:p>
    <w:p w:rsidR="00673A25" w:rsidRPr="00966555" w:rsidRDefault="002C569D" w:rsidP="002C569D">
      <w:pPr>
        <w:pStyle w:val="ListParagraph"/>
        <w:numPr>
          <w:ilvl w:val="0"/>
          <w:numId w:val="2"/>
        </w:numPr>
        <w:spacing w:after="0" w:line="240" w:lineRule="auto"/>
        <w:rPr>
          <w:rFonts w:cstheme="minorHAnsi"/>
          <w:sz w:val="20"/>
          <w:szCs w:val="20"/>
        </w:rPr>
      </w:pPr>
      <w:r w:rsidRPr="00966555">
        <w:rPr>
          <w:rFonts w:cstheme="minorHAnsi"/>
          <w:sz w:val="20"/>
          <w:szCs w:val="20"/>
        </w:rPr>
        <w:t>The advisors review, score and rank the projects based on s</w:t>
      </w:r>
      <w:r w:rsidR="00966555">
        <w:rPr>
          <w:rFonts w:cstheme="minorHAnsi"/>
          <w:sz w:val="20"/>
          <w:szCs w:val="20"/>
        </w:rPr>
        <w:t>election</w:t>
      </w:r>
      <w:r w:rsidRPr="00966555">
        <w:rPr>
          <w:rFonts w:cstheme="minorHAnsi"/>
          <w:sz w:val="20"/>
          <w:szCs w:val="20"/>
        </w:rPr>
        <w:t xml:space="preserve"> criteria (</w:t>
      </w:r>
      <w:r w:rsidR="00673A25" w:rsidRPr="00966555">
        <w:rPr>
          <w:rFonts w:cstheme="minorHAnsi"/>
          <w:sz w:val="20"/>
          <w:szCs w:val="20"/>
        </w:rPr>
        <w:t xml:space="preserve">see criteria at </w:t>
      </w:r>
      <w:hyperlink r:id="rId9" w:history="1">
        <w:r w:rsidR="00966555" w:rsidRPr="00966555">
          <w:rPr>
            <w:rStyle w:val="Hyperlink"/>
            <w:rFonts w:asciiTheme="minorHAnsi" w:hAnsiTheme="minorHAnsi" w:cstheme="minorHAnsi"/>
            <w:sz w:val="20"/>
            <w:szCs w:val="20"/>
          </w:rPr>
          <w:t>www.tido.childrenshospital.org</w:t>
        </w:r>
      </w:hyperlink>
      <w:r w:rsidR="00966555" w:rsidRPr="00966555">
        <w:rPr>
          <w:rFonts w:cstheme="minorHAnsi"/>
          <w:color w:val="0070C0"/>
          <w:sz w:val="20"/>
          <w:szCs w:val="20"/>
        </w:rPr>
        <w:t xml:space="preserve"> </w:t>
      </w:r>
      <w:r w:rsidR="00673A25" w:rsidRPr="00966555">
        <w:rPr>
          <w:rFonts w:cstheme="minorHAnsi"/>
          <w:sz w:val="20"/>
          <w:szCs w:val="20"/>
        </w:rPr>
        <w:t>)</w:t>
      </w:r>
      <w:r w:rsidRPr="00966555">
        <w:rPr>
          <w:rFonts w:cstheme="minorHAnsi"/>
          <w:sz w:val="20"/>
          <w:szCs w:val="20"/>
        </w:rPr>
        <w:t xml:space="preserve"> and make a funding recommendation. </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The advisor</w:t>
      </w:r>
      <w:r w:rsidR="00673A25" w:rsidRPr="00645658">
        <w:rPr>
          <w:rFonts w:cstheme="minorHAnsi"/>
          <w:sz w:val="20"/>
          <w:szCs w:val="20"/>
        </w:rPr>
        <w:t>y board</w:t>
      </w:r>
      <w:r w:rsidRPr="00645658">
        <w:rPr>
          <w:rFonts w:cstheme="minorHAnsi"/>
          <w:sz w:val="20"/>
          <w:szCs w:val="20"/>
        </w:rPr>
        <w:t xml:space="preserve"> may recommend funding a project with a provision that the specific aims be modified.</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The final selection pool of projects proposed for funding is submitted to an internal BCH executive committee for approval.</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Awards are announced once the executive committee has approved TDF’s funding recommendations.</w:t>
      </w:r>
    </w:p>
    <w:p w:rsidR="00966555" w:rsidRPr="00966555" w:rsidRDefault="002C569D" w:rsidP="002C569D">
      <w:pPr>
        <w:pStyle w:val="ListParagraph"/>
        <w:numPr>
          <w:ilvl w:val="0"/>
          <w:numId w:val="2"/>
        </w:numPr>
        <w:spacing w:after="0" w:line="240" w:lineRule="auto"/>
        <w:rPr>
          <w:rFonts w:cstheme="minorHAnsi"/>
          <w:b/>
          <w:sz w:val="20"/>
          <w:szCs w:val="20"/>
        </w:rPr>
      </w:pPr>
      <w:r w:rsidRPr="00645658">
        <w:rPr>
          <w:rFonts w:cstheme="minorHAnsi"/>
          <w:sz w:val="20"/>
          <w:szCs w:val="20"/>
        </w:rPr>
        <w:t xml:space="preserve">The award allocates </w:t>
      </w:r>
      <w:r w:rsidRPr="00645658">
        <w:rPr>
          <w:rFonts w:cstheme="minorHAnsi"/>
          <w:b/>
          <w:sz w:val="20"/>
          <w:szCs w:val="20"/>
          <w:u w:val="single"/>
        </w:rPr>
        <w:t>up to</w:t>
      </w:r>
      <w:r w:rsidRPr="00645658">
        <w:rPr>
          <w:rFonts w:cstheme="minorHAnsi"/>
          <w:sz w:val="20"/>
          <w:szCs w:val="20"/>
        </w:rPr>
        <w:t xml:space="preserve"> $50,000 for Proof of Concept awards and </w:t>
      </w:r>
      <w:r w:rsidRPr="00645658">
        <w:rPr>
          <w:rFonts w:cstheme="minorHAnsi"/>
          <w:b/>
          <w:sz w:val="20"/>
          <w:szCs w:val="20"/>
          <w:u w:val="single"/>
        </w:rPr>
        <w:t>up to</w:t>
      </w:r>
      <w:r w:rsidRPr="00645658">
        <w:rPr>
          <w:rFonts w:cstheme="minorHAnsi"/>
          <w:sz w:val="20"/>
          <w:szCs w:val="20"/>
        </w:rPr>
        <w:t xml:space="preserve"> $150,000 for Technology Development awards. The exact amount of each award is dependent on </w:t>
      </w:r>
      <w:r w:rsidR="00A65F80" w:rsidRPr="00645658">
        <w:rPr>
          <w:rFonts w:cstheme="minorHAnsi"/>
          <w:sz w:val="20"/>
          <w:szCs w:val="20"/>
        </w:rPr>
        <w:t xml:space="preserve">1) </w:t>
      </w:r>
      <w:r w:rsidRPr="00645658">
        <w:rPr>
          <w:rFonts w:cstheme="minorHAnsi"/>
          <w:sz w:val="20"/>
          <w:szCs w:val="20"/>
        </w:rPr>
        <w:t>the actual cost of the proposed work as quoted by service providers (i.e., CROs and consultants</w:t>
      </w:r>
      <w:r w:rsidR="00A65F80" w:rsidRPr="00645658">
        <w:rPr>
          <w:rFonts w:cstheme="minorHAnsi"/>
          <w:sz w:val="20"/>
          <w:szCs w:val="20"/>
        </w:rPr>
        <w:t xml:space="preserve">), or 2) the budget agreed upon in consultation with the TDF mentor. </w:t>
      </w:r>
    </w:p>
    <w:p w:rsidR="002C569D" w:rsidRPr="00966555" w:rsidRDefault="00A65F80" w:rsidP="00966555">
      <w:pPr>
        <w:spacing w:after="0" w:line="240" w:lineRule="auto"/>
        <w:ind w:left="405"/>
        <w:rPr>
          <w:rFonts w:cstheme="minorHAnsi"/>
          <w:b/>
          <w:sz w:val="20"/>
          <w:szCs w:val="20"/>
        </w:rPr>
      </w:pPr>
      <w:r w:rsidRPr="00966555">
        <w:rPr>
          <w:rFonts w:cstheme="minorHAnsi"/>
          <w:b/>
          <w:sz w:val="20"/>
          <w:szCs w:val="20"/>
        </w:rPr>
        <w:t xml:space="preserve">Any </w:t>
      </w:r>
      <w:r w:rsidR="00CB6382" w:rsidRPr="00966555">
        <w:rPr>
          <w:rFonts w:cstheme="minorHAnsi"/>
          <w:b/>
          <w:sz w:val="20"/>
          <w:szCs w:val="20"/>
        </w:rPr>
        <w:t>funds remaining after the agreed upon project is completed</w:t>
      </w:r>
      <w:r w:rsidRPr="00966555">
        <w:rPr>
          <w:rFonts w:cstheme="minorHAnsi"/>
          <w:b/>
          <w:sz w:val="20"/>
          <w:szCs w:val="20"/>
        </w:rPr>
        <w:t xml:space="preserve"> will be returned to the pool for funding of future projects.</w:t>
      </w:r>
    </w:p>
    <w:p w:rsidR="002C569D" w:rsidRPr="00645658" w:rsidRDefault="002C569D" w:rsidP="002C569D">
      <w:pPr>
        <w:spacing w:after="0" w:line="240" w:lineRule="auto"/>
        <w:rPr>
          <w:rFonts w:cstheme="minorHAnsi"/>
          <w:b/>
          <w:sz w:val="20"/>
          <w:szCs w:val="20"/>
        </w:rPr>
      </w:pPr>
    </w:p>
    <w:p w:rsidR="002C569D" w:rsidRPr="00645658" w:rsidRDefault="002C569D" w:rsidP="002C569D">
      <w:pPr>
        <w:spacing w:after="0" w:line="240" w:lineRule="auto"/>
        <w:rPr>
          <w:rFonts w:cstheme="minorHAnsi"/>
          <w:b/>
          <w:sz w:val="20"/>
          <w:szCs w:val="20"/>
        </w:rPr>
      </w:pPr>
      <w:r w:rsidRPr="00645658">
        <w:rPr>
          <w:rFonts w:cstheme="minorHAnsi"/>
          <w:b/>
          <w:sz w:val="20"/>
          <w:szCs w:val="20"/>
        </w:rPr>
        <w:t>Funding Process</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 xml:space="preserve">Upon award announcement, the Principal Investigator (PI) will submit a detailed project plan that incorporates revisions to the specific aims as suggested by the advisory board. </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 xml:space="preserve">The project plan will include both internal (to be performed at </w:t>
      </w:r>
      <w:r w:rsidR="004252D5" w:rsidRPr="00645658">
        <w:rPr>
          <w:rFonts w:cstheme="minorHAnsi"/>
          <w:sz w:val="20"/>
          <w:szCs w:val="20"/>
        </w:rPr>
        <w:t>BCH</w:t>
      </w:r>
      <w:r w:rsidRPr="00645658">
        <w:rPr>
          <w:rFonts w:cstheme="minorHAnsi"/>
          <w:sz w:val="20"/>
          <w:szCs w:val="20"/>
        </w:rPr>
        <w:t xml:space="preserve">) and external (to be performed by CRO) parts of the project. </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lastRenderedPageBreak/>
        <w:t xml:space="preserve">The PI and TDF will work together to screen the proposed CROs and select the best partner.  TDF will support the effort by executing the appropriate non-disclosure and work-for-hire agreements. </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 xml:space="preserve">The </w:t>
      </w:r>
      <w:r w:rsidR="00E40F5B" w:rsidRPr="00645658">
        <w:rPr>
          <w:rFonts w:cstheme="minorHAnsi"/>
          <w:sz w:val="20"/>
          <w:szCs w:val="20"/>
        </w:rPr>
        <w:t>TIDO</w:t>
      </w:r>
      <w:r w:rsidRPr="00645658">
        <w:rPr>
          <w:rFonts w:cstheme="minorHAnsi"/>
          <w:sz w:val="20"/>
          <w:szCs w:val="20"/>
        </w:rPr>
        <w:t xml:space="preserve"> Director approves each project plan.</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Upon completion and approval of the project plan, TDF will issue an award letter and begin the project.</w:t>
      </w:r>
    </w:p>
    <w:p w:rsidR="002C569D" w:rsidRPr="00645658" w:rsidRDefault="002C569D" w:rsidP="002C569D">
      <w:pPr>
        <w:pStyle w:val="ListParagraph"/>
        <w:spacing w:after="0" w:line="240" w:lineRule="auto"/>
        <w:ind w:left="360"/>
        <w:rPr>
          <w:rFonts w:cstheme="minorHAnsi"/>
          <w:sz w:val="20"/>
          <w:szCs w:val="20"/>
        </w:rPr>
      </w:pPr>
      <w:bookmarkStart w:id="0" w:name="_GoBack"/>
      <w:bookmarkEnd w:id="0"/>
    </w:p>
    <w:p w:rsidR="002C569D" w:rsidRPr="00645658" w:rsidRDefault="002C569D" w:rsidP="002C569D">
      <w:pPr>
        <w:spacing w:after="0" w:line="240" w:lineRule="auto"/>
        <w:rPr>
          <w:rFonts w:cstheme="minorHAnsi"/>
          <w:b/>
          <w:sz w:val="20"/>
          <w:szCs w:val="20"/>
        </w:rPr>
      </w:pPr>
      <w:r w:rsidRPr="00645658">
        <w:rPr>
          <w:rFonts w:cstheme="minorHAnsi"/>
          <w:b/>
          <w:sz w:val="20"/>
          <w:szCs w:val="20"/>
        </w:rPr>
        <w:t>Conditions of Accepting TDF Funding</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The project plan must be finalized and approved within 6 months from the announcement of award, or the award may be considered forfeited.</w:t>
      </w:r>
    </w:p>
    <w:p w:rsidR="00836260" w:rsidRPr="00645658" w:rsidRDefault="00836260" w:rsidP="00836260">
      <w:pPr>
        <w:numPr>
          <w:ilvl w:val="0"/>
          <w:numId w:val="2"/>
        </w:numPr>
        <w:spacing w:after="0" w:line="240" w:lineRule="auto"/>
        <w:rPr>
          <w:rFonts w:eastAsia="Times New Roman" w:cstheme="minorHAnsi"/>
          <w:sz w:val="20"/>
          <w:szCs w:val="20"/>
        </w:rPr>
      </w:pPr>
      <w:r w:rsidRPr="00645658">
        <w:rPr>
          <w:rFonts w:eastAsia="Times New Roman" w:cstheme="minorHAnsi"/>
          <w:sz w:val="20"/>
          <w:szCs w:val="20"/>
        </w:rPr>
        <w:t xml:space="preserve">All </w:t>
      </w:r>
      <w:r w:rsidR="00E40F5B" w:rsidRPr="00645658">
        <w:rPr>
          <w:rFonts w:eastAsia="Times New Roman" w:cstheme="minorHAnsi"/>
          <w:sz w:val="20"/>
          <w:szCs w:val="20"/>
        </w:rPr>
        <w:t>projects</w:t>
      </w:r>
      <w:r w:rsidRPr="00645658">
        <w:rPr>
          <w:rFonts w:eastAsia="Times New Roman" w:cstheme="minorHAnsi"/>
          <w:sz w:val="20"/>
          <w:szCs w:val="20"/>
        </w:rPr>
        <w:t xml:space="preserve"> which have not been completed within 2 years of the award date will be closed, unless the awardee requests a one-year extension, which will be granted at TIDO Director’s discretion. </w:t>
      </w:r>
      <w:r w:rsidR="00E40F5B" w:rsidRPr="00645658">
        <w:rPr>
          <w:rFonts w:eastAsia="Times New Roman" w:cstheme="minorHAnsi"/>
          <w:sz w:val="20"/>
          <w:szCs w:val="20"/>
        </w:rPr>
        <w:t>A r</w:t>
      </w:r>
      <w:r w:rsidRPr="00645658">
        <w:rPr>
          <w:rFonts w:eastAsia="Times New Roman" w:cstheme="minorHAnsi"/>
          <w:sz w:val="20"/>
          <w:szCs w:val="20"/>
        </w:rPr>
        <w:t>equest for extension must include the reason for the delay, evidence that the project remains relevant and timely, and a plan for completing the project within the next 12 months.</w:t>
      </w:r>
    </w:p>
    <w:p w:rsidR="00836260" w:rsidRPr="00645658" w:rsidRDefault="00E40F5B" w:rsidP="00836260">
      <w:pPr>
        <w:numPr>
          <w:ilvl w:val="0"/>
          <w:numId w:val="2"/>
        </w:numPr>
        <w:spacing w:after="0" w:line="240" w:lineRule="auto"/>
        <w:rPr>
          <w:rFonts w:eastAsia="Times New Roman" w:cstheme="minorHAnsi"/>
          <w:sz w:val="20"/>
          <w:szCs w:val="20"/>
        </w:rPr>
      </w:pPr>
      <w:r w:rsidRPr="00645658">
        <w:rPr>
          <w:rFonts w:eastAsia="Times New Roman" w:cstheme="minorHAnsi"/>
          <w:sz w:val="20"/>
          <w:szCs w:val="20"/>
        </w:rPr>
        <w:t xml:space="preserve">Beyond the one-year extension, </w:t>
      </w:r>
      <w:r w:rsidR="00A32387" w:rsidRPr="00645658">
        <w:rPr>
          <w:rFonts w:eastAsia="Times New Roman" w:cstheme="minorHAnsi"/>
          <w:sz w:val="20"/>
          <w:szCs w:val="20"/>
        </w:rPr>
        <w:t>a</w:t>
      </w:r>
      <w:r w:rsidRPr="00645658">
        <w:rPr>
          <w:rFonts w:eastAsia="Times New Roman" w:cstheme="minorHAnsi"/>
          <w:sz w:val="20"/>
          <w:szCs w:val="20"/>
        </w:rPr>
        <w:t>n</w:t>
      </w:r>
      <w:r w:rsidR="00836260" w:rsidRPr="00645658">
        <w:rPr>
          <w:rFonts w:eastAsia="Times New Roman" w:cstheme="minorHAnsi"/>
          <w:sz w:val="20"/>
          <w:szCs w:val="20"/>
        </w:rPr>
        <w:t xml:space="preserve"> </w:t>
      </w:r>
      <w:r w:rsidRPr="00645658">
        <w:rPr>
          <w:rFonts w:eastAsia="Times New Roman" w:cstheme="minorHAnsi"/>
          <w:sz w:val="20"/>
          <w:szCs w:val="20"/>
        </w:rPr>
        <w:t>award</w:t>
      </w:r>
      <w:r w:rsidR="00836260" w:rsidRPr="00645658">
        <w:rPr>
          <w:rFonts w:eastAsia="Times New Roman" w:cstheme="minorHAnsi"/>
          <w:sz w:val="20"/>
          <w:szCs w:val="20"/>
        </w:rPr>
        <w:t xml:space="preserve"> recipient wish</w:t>
      </w:r>
      <w:r w:rsidRPr="00645658">
        <w:rPr>
          <w:rFonts w:eastAsia="Times New Roman" w:cstheme="minorHAnsi"/>
          <w:sz w:val="20"/>
          <w:szCs w:val="20"/>
        </w:rPr>
        <w:t xml:space="preserve">ing </w:t>
      </w:r>
      <w:r w:rsidR="00836260" w:rsidRPr="00645658">
        <w:rPr>
          <w:rFonts w:eastAsia="Times New Roman" w:cstheme="minorHAnsi"/>
          <w:sz w:val="20"/>
          <w:szCs w:val="20"/>
        </w:rPr>
        <w:t xml:space="preserve">to request an additional extension of time </w:t>
      </w:r>
      <w:r w:rsidR="009E5473" w:rsidRPr="00645658">
        <w:rPr>
          <w:rFonts w:eastAsia="Times New Roman" w:cstheme="minorHAnsi"/>
          <w:sz w:val="20"/>
          <w:szCs w:val="20"/>
        </w:rPr>
        <w:t xml:space="preserve">will have to </w:t>
      </w:r>
      <w:r w:rsidRPr="00645658">
        <w:rPr>
          <w:rFonts w:eastAsia="Times New Roman" w:cstheme="minorHAnsi"/>
          <w:sz w:val="20"/>
          <w:szCs w:val="20"/>
        </w:rPr>
        <w:t>submit a new application</w:t>
      </w:r>
      <w:r w:rsidR="00836260" w:rsidRPr="00645658">
        <w:rPr>
          <w:rFonts w:eastAsia="Times New Roman" w:cstheme="minorHAnsi"/>
          <w:sz w:val="20"/>
          <w:szCs w:val="20"/>
        </w:rPr>
        <w:t xml:space="preserve"> to </w:t>
      </w:r>
      <w:r w:rsidRPr="00645658">
        <w:rPr>
          <w:rFonts w:eastAsia="Times New Roman" w:cstheme="minorHAnsi"/>
          <w:sz w:val="20"/>
          <w:szCs w:val="20"/>
        </w:rPr>
        <w:t xml:space="preserve">the </w:t>
      </w:r>
      <w:r w:rsidR="00836260" w:rsidRPr="00645658">
        <w:rPr>
          <w:rFonts w:eastAsia="Times New Roman" w:cstheme="minorHAnsi"/>
          <w:sz w:val="20"/>
          <w:szCs w:val="20"/>
        </w:rPr>
        <w:t>Tech</w:t>
      </w:r>
      <w:r w:rsidRPr="00645658">
        <w:rPr>
          <w:rFonts w:eastAsia="Times New Roman" w:cstheme="minorHAnsi"/>
          <w:sz w:val="20"/>
          <w:szCs w:val="20"/>
        </w:rPr>
        <w:t xml:space="preserve">nology </w:t>
      </w:r>
      <w:r w:rsidR="00836260" w:rsidRPr="00645658">
        <w:rPr>
          <w:rFonts w:eastAsia="Times New Roman" w:cstheme="minorHAnsi"/>
          <w:sz w:val="20"/>
          <w:szCs w:val="20"/>
        </w:rPr>
        <w:t>Dev</w:t>
      </w:r>
      <w:r w:rsidRPr="00645658">
        <w:rPr>
          <w:rFonts w:eastAsia="Times New Roman" w:cstheme="minorHAnsi"/>
          <w:sz w:val="20"/>
          <w:szCs w:val="20"/>
        </w:rPr>
        <w:t xml:space="preserve">elopment </w:t>
      </w:r>
      <w:r w:rsidR="00836260" w:rsidRPr="00645658">
        <w:rPr>
          <w:rFonts w:eastAsia="Times New Roman" w:cstheme="minorHAnsi"/>
          <w:sz w:val="20"/>
          <w:szCs w:val="20"/>
        </w:rPr>
        <w:t>Fund</w:t>
      </w:r>
      <w:r w:rsidRPr="00645658">
        <w:rPr>
          <w:rFonts w:eastAsia="Times New Roman" w:cstheme="minorHAnsi"/>
          <w:sz w:val="20"/>
          <w:szCs w:val="20"/>
        </w:rPr>
        <w:t xml:space="preserve"> during the annual call for proposal.</w:t>
      </w:r>
    </w:p>
    <w:p w:rsidR="00836260" w:rsidRPr="00645658" w:rsidRDefault="00836260" w:rsidP="00836260">
      <w:pPr>
        <w:numPr>
          <w:ilvl w:val="1"/>
          <w:numId w:val="2"/>
        </w:numPr>
        <w:spacing w:after="0" w:line="240" w:lineRule="auto"/>
        <w:rPr>
          <w:rFonts w:eastAsia="Times New Roman" w:cstheme="minorHAnsi"/>
          <w:sz w:val="20"/>
          <w:szCs w:val="20"/>
        </w:rPr>
      </w:pPr>
      <w:r w:rsidRPr="00645658">
        <w:rPr>
          <w:rFonts w:eastAsia="Times New Roman" w:cstheme="minorHAnsi"/>
          <w:sz w:val="20"/>
          <w:szCs w:val="20"/>
        </w:rPr>
        <w:t xml:space="preserve">The </w:t>
      </w:r>
      <w:r w:rsidR="00E40F5B" w:rsidRPr="00645658">
        <w:rPr>
          <w:rFonts w:eastAsia="Times New Roman" w:cstheme="minorHAnsi"/>
          <w:sz w:val="20"/>
          <w:szCs w:val="20"/>
        </w:rPr>
        <w:t xml:space="preserve">TDF </w:t>
      </w:r>
      <w:r w:rsidRPr="00645658">
        <w:rPr>
          <w:rFonts w:eastAsia="Times New Roman" w:cstheme="minorHAnsi"/>
          <w:sz w:val="20"/>
          <w:szCs w:val="20"/>
        </w:rPr>
        <w:t xml:space="preserve">Advisory </w:t>
      </w:r>
      <w:r w:rsidR="00E40F5B" w:rsidRPr="00645658">
        <w:rPr>
          <w:rFonts w:eastAsia="Times New Roman" w:cstheme="minorHAnsi"/>
          <w:sz w:val="20"/>
          <w:szCs w:val="20"/>
        </w:rPr>
        <w:t>Board</w:t>
      </w:r>
      <w:r w:rsidRPr="00645658">
        <w:rPr>
          <w:rFonts w:eastAsia="Times New Roman" w:cstheme="minorHAnsi"/>
          <w:sz w:val="20"/>
          <w:szCs w:val="20"/>
        </w:rPr>
        <w:t xml:space="preserve"> will consider the re-submission in light of the current scientific, market and regulatory landscape </w:t>
      </w:r>
      <w:r w:rsidR="009E5473" w:rsidRPr="00645658">
        <w:rPr>
          <w:rFonts w:eastAsia="Times New Roman" w:cstheme="minorHAnsi"/>
          <w:sz w:val="20"/>
          <w:szCs w:val="20"/>
        </w:rPr>
        <w:t>and</w:t>
      </w:r>
      <w:r w:rsidRPr="00645658">
        <w:rPr>
          <w:rFonts w:eastAsia="Times New Roman" w:cstheme="minorHAnsi"/>
          <w:sz w:val="20"/>
          <w:szCs w:val="20"/>
        </w:rPr>
        <w:t xml:space="preserve"> judge the </w:t>
      </w:r>
      <w:r w:rsidR="00E40F5B" w:rsidRPr="00645658">
        <w:rPr>
          <w:rFonts w:eastAsia="Times New Roman" w:cstheme="minorHAnsi"/>
          <w:sz w:val="20"/>
          <w:szCs w:val="20"/>
        </w:rPr>
        <w:t>proposal</w:t>
      </w:r>
      <w:r w:rsidRPr="00645658">
        <w:rPr>
          <w:rFonts w:eastAsia="Times New Roman" w:cstheme="minorHAnsi"/>
          <w:sz w:val="20"/>
          <w:szCs w:val="20"/>
        </w:rPr>
        <w:t xml:space="preserve"> on the same criteria as all TDF proposals.</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The PI agrees to use the funds as specifically described, and for the specific aims, detailed in the project plan. The project plan cannot be changed without TDF approval.</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The PI agrees to inform TDF if the PI, or the BCH employee performing the work and leading the project, intends to leave BCH.</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The PI agrees to inform TDF if the PI is awarded an internal or external grant that supports any of the same specific aims as those proposed in the TDF project plan.</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The PI agrees to deliver all the agreed upon deliverables detailed in the project plan upon the completion of the project and return any undisbursed funds.</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TDF reserves the right to put funding on hold or terminate funding should any of the following occur:</w:t>
      </w:r>
    </w:p>
    <w:p w:rsidR="002C569D" w:rsidRPr="00645658" w:rsidRDefault="002C569D" w:rsidP="002C569D">
      <w:pPr>
        <w:pStyle w:val="ListParagraph"/>
        <w:numPr>
          <w:ilvl w:val="1"/>
          <w:numId w:val="2"/>
        </w:numPr>
        <w:spacing w:after="0" w:line="240" w:lineRule="auto"/>
        <w:rPr>
          <w:rFonts w:cstheme="minorHAnsi"/>
          <w:sz w:val="20"/>
          <w:szCs w:val="20"/>
        </w:rPr>
      </w:pPr>
      <w:r w:rsidRPr="00645658">
        <w:rPr>
          <w:rFonts w:cstheme="minorHAnsi"/>
          <w:sz w:val="20"/>
          <w:szCs w:val="20"/>
        </w:rPr>
        <w:t>A project is optioned or licensed to a company during the award period.</w:t>
      </w:r>
    </w:p>
    <w:p w:rsidR="002C569D" w:rsidRPr="00645658" w:rsidRDefault="002C569D" w:rsidP="002C569D">
      <w:pPr>
        <w:pStyle w:val="ListParagraph"/>
        <w:numPr>
          <w:ilvl w:val="1"/>
          <w:numId w:val="2"/>
        </w:numPr>
        <w:spacing w:after="0" w:line="240" w:lineRule="auto"/>
        <w:rPr>
          <w:rFonts w:cstheme="minorHAnsi"/>
          <w:sz w:val="20"/>
          <w:szCs w:val="20"/>
        </w:rPr>
      </w:pPr>
      <w:r w:rsidRPr="00645658">
        <w:rPr>
          <w:rFonts w:cstheme="minorHAnsi"/>
          <w:sz w:val="20"/>
          <w:szCs w:val="20"/>
        </w:rPr>
        <w:t>Finalization of the project plan takes in excess of 6 months after announcement of the award.</w:t>
      </w:r>
    </w:p>
    <w:p w:rsidR="002C569D" w:rsidRPr="00645658" w:rsidRDefault="002C569D" w:rsidP="002C569D">
      <w:pPr>
        <w:pStyle w:val="ListParagraph"/>
        <w:numPr>
          <w:ilvl w:val="1"/>
          <w:numId w:val="2"/>
        </w:numPr>
        <w:spacing w:after="0" w:line="240" w:lineRule="auto"/>
        <w:rPr>
          <w:rFonts w:cstheme="minorHAnsi"/>
          <w:sz w:val="20"/>
          <w:szCs w:val="20"/>
        </w:rPr>
      </w:pPr>
      <w:r w:rsidRPr="00645658">
        <w:rPr>
          <w:rFonts w:cstheme="minorHAnsi"/>
          <w:sz w:val="20"/>
          <w:szCs w:val="20"/>
        </w:rPr>
        <w:t xml:space="preserve">Completion of the project takes in excess of </w:t>
      </w:r>
      <w:r w:rsidR="005812B2" w:rsidRPr="00645658">
        <w:rPr>
          <w:rFonts w:cstheme="minorHAnsi"/>
          <w:sz w:val="20"/>
          <w:szCs w:val="20"/>
        </w:rPr>
        <w:t>two</w:t>
      </w:r>
      <w:r w:rsidRPr="00645658">
        <w:rPr>
          <w:rFonts w:cstheme="minorHAnsi"/>
          <w:sz w:val="20"/>
          <w:szCs w:val="20"/>
        </w:rPr>
        <w:t xml:space="preserve"> year</w:t>
      </w:r>
      <w:r w:rsidR="005812B2" w:rsidRPr="00645658">
        <w:rPr>
          <w:rFonts w:cstheme="minorHAnsi"/>
          <w:sz w:val="20"/>
          <w:szCs w:val="20"/>
        </w:rPr>
        <w:t>s</w:t>
      </w:r>
      <w:r w:rsidRPr="00645658">
        <w:rPr>
          <w:rFonts w:cstheme="minorHAnsi"/>
          <w:sz w:val="20"/>
          <w:szCs w:val="20"/>
        </w:rPr>
        <w:t xml:space="preserve">. </w:t>
      </w:r>
    </w:p>
    <w:p w:rsidR="002C569D" w:rsidRPr="00645658" w:rsidRDefault="002C569D" w:rsidP="002C569D">
      <w:pPr>
        <w:pStyle w:val="ListParagraph"/>
        <w:numPr>
          <w:ilvl w:val="1"/>
          <w:numId w:val="2"/>
        </w:numPr>
        <w:spacing w:after="0" w:line="240" w:lineRule="auto"/>
        <w:rPr>
          <w:rFonts w:cstheme="minorHAnsi"/>
          <w:sz w:val="20"/>
          <w:szCs w:val="20"/>
        </w:rPr>
      </w:pPr>
      <w:r w:rsidRPr="00645658">
        <w:rPr>
          <w:rFonts w:cstheme="minorHAnsi"/>
          <w:sz w:val="20"/>
          <w:szCs w:val="20"/>
        </w:rPr>
        <w:t>The focus of the project deviates from the proposal approved by the Advisory Board without consultation with TDF.</w:t>
      </w:r>
    </w:p>
    <w:p w:rsidR="002C569D" w:rsidRPr="00645658" w:rsidRDefault="002C569D" w:rsidP="002C569D">
      <w:pPr>
        <w:pStyle w:val="ListParagraph"/>
        <w:numPr>
          <w:ilvl w:val="1"/>
          <w:numId w:val="2"/>
        </w:numPr>
        <w:spacing w:after="0" w:line="240" w:lineRule="auto"/>
        <w:rPr>
          <w:rFonts w:cstheme="minorHAnsi"/>
          <w:sz w:val="20"/>
          <w:szCs w:val="20"/>
        </w:rPr>
      </w:pPr>
      <w:r w:rsidRPr="00645658">
        <w:rPr>
          <w:rFonts w:cstheme="minorHAnsi"/>
          <w:sz w:val="20"/>
          <w:szCs w:val="20"/>
        </w:rPr>
        <w:t>The laboratory no longer has the staffing needed to complete the project.</w:t>
      </w:r>
    </w:p>
    <w:p w:rsidR="00CB6382" w:rsidRPr="00645658" w:rsidRDefault="00CB6382" w:rsidP="002C569D">
      <w:pPr>
        <w:pStyle w:val="ListParagraph"/>
        <w:numPr>
          <w:ilvl w:val="1"/>
          <w:numId w:val="2"/>
        </w:numPr>
        <w:spacing w:after="0" w:line="240" w:lineRule="auto"/>
        <w:rPr>
          <w:rFonts w:cstheme="minorHAnsi"/>
          <w:sz w:val="20"/>
          <w:szCs w:val="20"/>
        </w:rPr>
      </w:pPr>
      <w:r w:rsidRPr="00645658">
        <w:rPr>
          <w:rFonts w:cstheme="minorHAnsi"/>
          <w:sz w:val="20"/>
          <w:szCs w:val="20"/>
        </w:rPr>
        <w:t>The</w:t>
      </w:r>
      <w:r w:rsidR="00966555">
        <w:rPr>
          <w:rFonts w:cstheme="minorHAnsi"/>
          <w:sz w:val="20"/>
          <w:szCs w:val="20"/>
        </w:rPr>
        <w:t xml:space="preserve"> milestones are met</w:t>
      </w:r>
      <w:r w:rsidRPr="00645658">
        <w:rPr>
          <w:rFonts w:cstheme="minorHAnsi"/>
          <w:sz w:val="20"/>
          <w:szCs w:val="20"/>
        </w:rPr>
        <w:t xml:space="preserve"> before the full grant award is spent.</w:t>
      </w:r>
    </w:p>
    <w:p w:rsidR="002C569D" w:rsidRPr="00645658" w:rsidRDefault="002C569D" w:rsidP="002C569D">
      <w:pPr>
        <w:spacing w:after="0" w:line="240" w:lineRule="auto"/>
        <w:rPr>
          <w:rFonts w:cstheme="minorHAnsi"/>
          <w:sz w:val="20"/>
          <w:szCs w:val="20"/>
        </w:rPr>
      </w:pPr>
    </w:p>
    <w:p w:rsidR="002C569D" w:rsidRPr="00645658" w:rsidRDefault="002C569D" w:rsidP="002C569D">
      <w:pPr>
        <w:spacing w:after="0" w:line="240" w:lineRule="auto"/>
        <w:rPr>
          <w:rFonts w:cstheme="minorHAnsi"/>
          <w:b/>
          <w:sz w:val="20"/>
          <w:szCs w:val="20"/>
        </w:rPr>
      </w:pPr>
      <w:r w:rsidRPr="00645658">
        <w:rPr>
          <w:rFonts w:cstheme="minorHAnsi"/>
          <w:b/>
          <w:sz w:val="20"/>
          <w:szCs w:val="20"/>
        </w:rPr>
        <w:t>Publicity</w:t>
      </w:r>
    </w:p>
    <w:p w:rsidR="002C569D" w:rsidRPr="00645658" w:rsidRDefault="002C569D" w:rsidP="002C569D">
      <w:pPr>
        <w:pStyle w:val="ListParagraph"/>
        <w:numPr>
          <w:ilvl w:val="0"/>
          <w:numId w:val="2"/>
        </w:numPr>
        <w:spacing w:after="0" w:line="240" w:lineRule="auto"/>
        <w:rPr>
          <w:rFonts w:cstheme="minorHAnsi"/>
          <w:sz w:val="20"/>
          <w:szCs w:val="20"/>
        </w:rPr>
      </w:pPr>
      <w:r w:rsidRPr="00645658">
        <w:rPr>
          <w:rFonts w:cstheme="minorHAnsi"/>
          <w:sz w:val="20"/>
          <w:szCs w:val="20"/>
        </w:rPr>
        <w:t>TDF appreciates mention of the award provided by the “Technology Development Fund” in public presentations</w:t>
      </w:r>
      <w:r w:rsidR="005812B2" w:rsidRPr="00645658">
        <w:rPr>
          <w:rFonts w:cstheme="minorHAnsi"/>
          <w:sz w:val="20"/>
          <w:szCs w:val="20"/>
        </w:rPr>
        <w:t xml:space="preserve"> and publications</w:t>
      </w:r>
      <w:r w:rsidRPr="00645658">
        <w:rPr>
          <w:rFonts w:cstheme="minorHAnsi"/>
          <w:sz w:val="20"/>
          <w:szCs w:val="20"/>
        </w:rPr>
        <w:t xml:space="preserve"> when financial support is referenced.</w:t>
      </w:r>
    </w:p>
    <w:p w:rsidR="002C569D" w:rsidRPr="00645658" w:rsidRDefault="002C569D" w:rsidP="002C569D">
      <w:pPr>
        <w:pStyle w:val="ListParagraph"/>
        <w:spacing w:after="0" w:line="240" w:lineRule="auto"/>
        <w:ind w:left="360"/>
        <w:rPr>
          <w:rFonts w:cstheme="minorHAnsi"/>
          <w:color w:val="C00000"/>
          <w:sz w:val="20"/>
          <w:szCs w:val="20"/>
        </w:rPr>
      </w:pPr>
    </w:p>
    <w:p w:rsidR="002C569D" w:rsidRPr="00645658" w:rsidRDefault="002C569D" w:rsidP="002C569D">
      <w:pPr>
        <w:spacing w:after="0" w:line="240" w:lineRule="auto"/>
        <w:rPr>
          <w:rFonts w:cstheme="minorHAnsi"/>
          <w:sz w:val="20"/>
          <w:szCs w:val="20"/>
        </w:rPr>
      </w:pPr>
    </w:p>
    <w:p w:rsidR="002C569D" w:rsidRPr="00645658" w:rsidRDefault="002C569D" w:rsidP="002C569D">
      <w:pPr>
        <w:spacing w:after="0" w:line="240" w:lineRule="auto"/>
        <w:rPr>
          <w:rFonts w:cstheme="minorHAnsi"/>
          <w:b/>
          <w:sz w:val="20"/>
          <w:szCs w:val="20"/>
        </w:rPr>
      </w:pPr>
      <w:r w:rsidRPr="00645658">
        <w:rPr>
          <w:rFonts w:cstheme="minorHAnsi"/>
          <w:b/>
          <w:sz w:val="20"/>
          <w:szCs w:val="20"/>
        </w:rPr>
        <w:t xml:space="preserve">Please contact </w:t>
      </w:r>
      <w:hyperlink r:id="rId10" w:history="1">
        <w:r w:rsidRPr="00645658">
          <w:rPr>
            <w:rStyle w:val="Hyperlink"/>
            <w:rFonts w:asciiTheme="minorHAnsi" w:hAnsiTheme="minorHAnsi" w:cstheme="minorHAnsi"/>
            <w:b/>
            <w:sz w:val="20"/>
            <w:szCs w:val="20"/>
          </w:rPr>
          <w:t>Technology.Development@Childrens.Harvard.edu</w:t>
        </w:r>
      </w:hyperlink>
      <w:r w:rsidRPr="00645658">
        <w:rPr>
          <w:rFonts w:cstheme="minorHAnsi"/>
          <w:b/>
          <w:sz w:val="20"/>
          <w:szCs w:val="20"/>
        </w:rPr>
        <w:t xml:space="preserve"> with any questions.</w:t>
      </w:r>
    </w:p>
    <w:sectPr w:rsidR="002C569D" w:rsidRPr="0064565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A9" w:rsidRDefault="008E19A9" w:rsidP="00802525">
      <w:pPr>
        <w:spacing w:after="0" w:line="240" w:lineRule="auto"/>
      </w:pPr>
      <w:r>
        <w:separator/>
      </w:r>
    </w:p>
  </w:endnote>
  <w:endnote w:type="continuationSeparator" w:id="0">
    <w:p w:rsidR="008E19A9" w:rsidRDefault="008E19A9" w:rsidP="0080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keley">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60145"/>
      <w:docPartObj>
        <w:docPartGallery w:val="Page Numbers (Bottom of Page)"/>
        <w:docPartUnique/>
      </w:docPartObj>
    </w:sdtPr>
    <w:sdtEndPr>
      <w:rPr>
        <w:rFonts w:ascii="Book Antiqua" w:hAnsi="Book Antiqua"/>
        <w:noProof/>
        <w:sz w:val="18"/>
        <w:szCs w:val="18"/>
      </w:rPr>
    </w:sdtEndPr>
    <w:sdtContent>
      <w:p w:rsidR="002C569D" w:rsidRPr="002C569D" w:rsidRDefault="002C569D">
        <w:pPr>
          <w:pStyle w:val="Footer"/>
          <w:jc w:val="right"/>
          <w:rPr>
            <w:rFonts w:ascii="Book Antiqua" w:hAnsi="Book Antiqua"/>
            <w:sz w:val="18"/>
            <w:szCs w:val="18"/>
          </w:rPr>
        </w:pPr>
        <w:r w:rsidRPr="002C569D">
          <w:rPr>
            <w:rFonts w:ascii="Book Antiqua" w:hAnsi="Book Antiqua"/>
            <w:sz w:val="18"/>
            <w:szCs w:val="18"/>
          </w:rPr>
          <w:fldChar w:fldCharType="begin"/>
        </w:r>
        <w:r w:rsidRPr="002C569D">
          <w:rPr>
            <w:rFonts w:ascii="Book Antiqua" w:hAnsi="Book Antiqua"/>
            <w:sz w:val="18"/>
            <w:szCs w:val="18"/>
          </w:rPr>
          <w:instrText xml:space="preserve"> PAGE   \* MERGEFORMAT </w:instrText>
        </w:r>
        <w:r w:rsidRPr="002C569D">
          <w:rPr>
            <w:rFonts w:ascii="Book Antiqua" w:hAnsi="Book Antiqua"/>
            <w:sz w:val="18"/>
            <w:szCs w:val="18"/>
          </w:rPr>
          <w:fldChar w:fldCharType="separate"/>
        </w:r>
        <w:r w:rsidR="0039449E">
          <w:rPr>
            <w:rFonts w:ascii="Book Antiqua" w:hAnsi="Book Antiqua"/>
            <w:noProof/>
            <w:sz w:val="18"/>
            <w:szCs w:val="18"/>
          </w:rPr>
          <w:t>2</w:t>
        </w:r>
        <w:r w:rsidRPr="002C569D">
          <w:rPr>
            <w:rFonts w:ascii="Book Antiqua" w:hAnsi="Book Antiqua"/>
            <w:noProof/>
            <w:sz w:val="18"/>
            <w:szCs w:val="18"/>
          </w:rPr>
          <w:fldChar w:fldCharType="end"/>
        </w:r>
      </w:p>
    </w:sdtContent>
  </w:sdt>
  <w:p w:rsidR="00772821" w:rsidRPr="00772821" w:rsidRDefault="00335E69" w:rsidP="00772821">
    <w:pPr>
      <w:pStyle w:val="Header"/>
      <w:jc w:val="center"/>
      <w:rPr>
        <w:rFonts w:ascii="Book Antiqua" w:hAnsi="Book Antiqua"/>
        <w:sz w:val="16"/>
      </w:rPr>
    </w:pPr>
    <w:r>
      <w:rPr>
        <w:rFonts w:ascii="Book Antiqua" w:hAnsi="Book Antiqua"/>
        <w:sz w:val="16"/>
      </w:rPr>
      <w:t xml:space="preserve">Drafted 2011 – Revised </w:t>
    </w:r>
    <w:r w:rsidR="00966555">
      <w:rPr>
        <w:rFonts w:ascii="Book Antiqua" w:hAnsi="Book Antiqua"/>
        <w:sz w:val="16"/>
      </w:rPr>
      <w:t>December</w:t>
    </w:r>
    <w:r w:rsidR="0039449E">
      <w:rPr>
        <w:rFonts w:ascii="Book Antiqua" w:hAnsi="Book Antiqua"/>
        <w:sz w:val="16"/>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A9" w:rsidRDefault="008E19A9" w:rsidP="00802525">
      <w:pPr>
        <w:spacing w:after="0" w:line="240" w:lineRule="auto"/>
      </w:pPr>
      <w:r>
        <w:separator/>
      </w:r>
    </w:p>
  </w:footnote>
  <w:footnote w:type="continuationSeparator" w:id="0">
    <w:p w:rsidR="008E19A9" w:rsidRDefault="008E19A9" w:rsidP="0080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0A" w:rsidRDefault="000A6C0A" w:rsidP="000A6C0A">
    <w:pPr>
      <w:pStyle w:val="Header"/>
      <w:jc w:val="center"/>
    </w:pPr>
    <w:r>
      <w:rPr>
        <w:rFonts w:ascii="Berkeley" w:hAnsi="Berkeley"/>
        <w:b/>
        <w:noProof/>
        <w:color w:val="808080"/>
        <w:position w:val="-8"/>
        <w:sz w:val="44"/>
      </w:rPr>
      <w:drawing>
        <wp:inline distT="0" distB="0" distL="0" distR="0" wp14:anchorId="48053536" wp14:editId="0AD7213A">
          <wp:extent cx="32766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85800"/>
                  </a:xfrm>
                  <a:prstGeom prst="rect">
                    <a:avLst/>
                  </a:prstGeom>
                  <a:noFill/>
                  <a:ln>
                    <a:noFill/>
                  </a:ln>
                </pic:spPr>
              </pic:pic>
            </a:graphicData>
          </a:graphic>
        </wp:inline>
      </w:drawing>
    </w:r>
  </w:p>
  <w:p w:rsidR="00802525" w:rsidRDefault="00802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4C0"/>
    <w:multiLevelType w:val="hybridMultilevel"/>
    <w:tmpl w:val="9EC696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61066B6"/>
    <w:multiLevelType w:val="hybridMultilevel"/>
    <w:tmpl w:val="73B2D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3A6D4F"/>
    <w:multiLevelType w:val="hybridMultilevel"/>
    <w:tmpl w:val="70FC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A00B9"/>
    <w:multiLevelType w:val="hybridMultilevel"/>
    <w:tmpl w:val="B00AEB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C0080"/>
    <w:multiLevelType w:val="hybridMultilevel"/>
    <w:tmpl w:val="CBB0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4472A"/>
    <w:multiLevelType w:val="hybridMultilevel"/>
    <w:tmpl w:val="BB62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C61906"/>
    <w:multiLevelType w:val="hybridMultilevel"/>
    <w:tmpl w:val="C3DA341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E760305"/>
    <w:multiLevelType w:val="hybridMultilevel"/>
    <w:tmpl w:val="4DC85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3E60C84"/>
    <w:multiLevelType w:val="hybridMultilevel"/>
    <w:tmpl w:val="D1982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8"/>
  </w:num>
  <w:num w:numId="6">
    <w:abstractNumId w:val="2"/>
  </w:num>
  <w:num w:numId="7">
    <w:abstractNumId w:val="3"/>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25"/>
    <w:rsid w:val="00000CC1"/>
    <w:rsid w:val="00040FCC"/>
    <w:rsid w:val="000A592D"/>
    <w:rsid w:val="000A6C0A"/>
    <w:rsid w:val="000C79F7"/>
    <w:rsid w:val="000E2491"/>
    <w:rsid w:val="002000C3"/>
    <w:rsid w:val="00220975"/>
    <w:rsid w:val="00220F40"/>
    <w:rsid w:val="0028794C"/>
    <w:rsid w:val="002C569D"/>
    <w:rsid w:val="00301A54"/>
    <w:rsid w:val="00312388"/>
    <w:rsid w:val="00315424"/>
    <w:rsid w:val="00316F44"/>
    <w:rsid w:val="00327D62"/>
    <w:rsid w:val="00335AEA"/>
    <w:rsid w:val="00335E69"/>
    <w:rsid w:val="00371DB2"/>
    <w:rsid w:val="0039449E"/>
    <w:rsid w:val="003E4254"/>
    <w:rsid w:val="00420217"/>
    <w:rsid w:val="00421ECA"/>
    <w:rsid w:val="004252D5"/>
    <w:rsid w:val="004764EB"/>
    <w:rsid w:val="00532227"/>
    <w:rsid w:val="00574124"/>
    <w:rsid w:val="005812B2"/>
    <w:rsid w:val="005C0E07"/>
    <w:rsid w:val="00636BC3"/>
    <w:rsid w:val="00645658"/>
    <w:rsid w:val="00653EFA"/>
    <w:rsid w:val="00663693"/>
    <w:rsid w:val="006739F0"/>
    <w:rsid w:val="00673A25"/>
    <w:rsid w:val="00725FA7"/>
    <w:rsid w:val="00764A04"/>
    <w:rsid w:val="00765922"/>
    <w:rsid w:val="00772821"/>
    <w:rsid w:val="00790A9B"/>
    <w:rsid w:val="007A2304"/>
    <w:rsid w:val="00802525"/>
    <w:rsid w:val="00833451"/>
    <w:rsid w:val="00836260"/>
    <w:rsid w:val="0083795A"/>
    <w:rsid w:val="008E19A9"/>
    <w:rsid w:val="00966555"/>
    <w:rsid w:val="00982A08"/>
    <w:rsid w:val="009A2C1D"/>
    <w:rsid w:val="009A2CE3"/>
    <w:rsid w:val="009A6061"/>
    <w:rsid w:val="009E5473"/>
    <w:rsid w:val="00A112D6"/>
    <w:rsid w:val="00A32387"/>
    <w:rsid w:val="00A65F80"/>
    <w:rsid w:val="00B408E7"/>
    <w:rsid w:val="00C531FA"/>
    <w:rsid w:val="00C62FEB"/>
    <w:rsid w:val="00CB6382"/>
    <w:rsid w:val="00D81901"/>
    <w:rsid w:val="00D95D37"/>
    <w:rsid w:val="00DA7ECE"/>
    <w:rsid w:val="00DB5162"/>
    <w:rsid w:val="00DE35EB"/>
    <w:rsid w:val="00E37CA0"/>
    <w:rsid w:val="00E40F5B"/>
    <w:rsid w:val="00E66882"/>
    <w:rsid w:val="00E8503D"/>
    <w:rsid w:val="00EA6E08"/>
    <w:rsid w:val="00ED1ED0"/>
    <w:rsid w:val="00F95D46"/>
    <w:rsid w:val="00FA5ACF"/>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25"/>
  </w:style>
  <w:style w:type="paragraph" w:styleId="Footer">
    <w:name w:val="footer"/>
    <w:basedOn w:val="Normal"/>
    <w:link w:val="FooterChar"/>
    <w:uiPriority w:val="99"/>
    <w:unhideWhenUsed/>
    <w:rsid w:val="0080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25"/>
  </w:style>
  <w:style w:type="paragraph" w:styleId="BalloonText">
    <w:name w:val="Balloon Text"/>
    <w:basedOn w:val="Normal"/>
    <w:link w:val="BalloonTextChar"/>
    <w:uiPriority w:val="99"/>
    <w:semiHidden/>
    <w:unhideWhenUsed/>
    <w:rsid w:val="00802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525"/>
    <w:rPr>
      <w:rFonts w:ascii="Tahoma" w:hAnsi="Tahoma" w:cs="Tahoma"/>
      <w:sz w:val="16"/>
      <w:szCs w:val="16"/>
    </w:rPr>
  </w:style>
  <w:style w:type="character" w:styleId="Hyperlink">
    <w:name w:val="Hyperlink"/>
    <w:rsid w:val="00772821"/>
    <w:rPr>
      <w:rFonts w:ascii="Arial" w:hAnsi="Arial"/>
      <w:color w:val="0000FF"/>
      <w:sz w:val="22"/>
      <w:u w:val="single"/>
    </w:rPr>
  </w:style>
  <w:style w:type="paragraph" w:styleId="ListParagraph">
    <w:name w:val="List Paragraph"/>
    <w:basedOn w:val="Normal"/>
    <w:uiPriority w:val="34"/>
    <w:qFormat/>
    <w:rsid w:val="002C569D"/>
    <w:pPr>
      <w:ind w:left="720"/>
      <w:contextualSpacing/>
    </w:pPr>
  </w:style>
  <w:style w:type="character" w:styleId="CommentReference">
    <w:name w:val="annotation reference"/>
    <w:basedOn w:val="DefaultParagraphFont"/>
    <w:uiPriority w:val="99"/>
    <w:semiHidden/>
    <w:unhideWhenUsed/>
    <w:rsid w:val="00CB6382"/>
    <w:rPr>
      <w:sz w:val="16"/>
      <w:szCs w:val="16"/>
    </w:rPr>
  </w:style>
  <w:style w:type="paragraph" w:styleId="CommentText">
    <w:name w:val="annotation text"/>
    <w:basedOn w:val="Normal"/>
    <w:link w:val="CommentTextChar"/>
    <w:uiPriority w:val="99"/>
    <w:semiHidden/>
    <w:unhideWhenUsed/>
    <w:rsid w:val="00CB6382"/>
    <w:pPr>
      <w:spacing w:line="240" w:lineRule="auto"/>
    </w:pPr>
    <w:rPr>
      <w:sz w:val="20"/>
      <w:szCs w:val="20"/>
    </w:rPr>
  </w:style>
  <w:style w:type="character" w:customStyle="1" w:styleId="CommentTextChar">
    <w:name w:val="Comment Text Char"/>
    <w:basedOn w:val="DefaultParagraphFont"/>
    <w:link w:val="CommentText"/>
    <w:uiPriority w:val="99"/>
    <w:semiHidden/>
    <w:rsid w:val="00CB6382"/>
    <w:rPr>
      <w:sz w:val="20"/>
      <w:szCs w:val="20"/>
    </w:rPr>
  </w:style>
  <w:style w:type="paragraph" w:styleId="CommentSubject">
    <w:name w:val="annotation subject"/>
    <w:basedOn w:val="CommentText"/>
    <w:next w:val="CommentText"/>
    <w:link w:val="CommentSubjectChar"/>
    <w:uiPriority w:val="99"/>
    <w:semiHidden/>
    <w:unhideWhenUsed/>
    <w:rsid w:val="00CB6382"/>
    <w:rPr>
      <w:b/>
      <w:bCs/>
    </w:rPr>
  </w:style>
  <w:style w:type="character" w:customStyle="1" w:styleId="CommentSubjectChar">
    <w:name w:val="Comment Subject Char"/>
    <w:basedOn w:val="CommentTextChar"/>
    <w:link w:val="CommentSubject"/>
    <w:uiPriority w:val="99"/>
    <w:semiHidden/>
    <w:rsid w:val="00CB638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25"/>
  </w:style>
  <w:style w:type="paragraph" w:styleId="Footer">
    <w:name w:val="footer"/>
    <w:basedOn w:val="Normal"/>
    <w:link w:val="FooterChar"/>
    <w:uiPriority w:val="99"/>
    <w:unhideWhenUsed/>
    <w:rsid w:val="0080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25"/>
  </w:style>
  <w:style w:type="paragraph" w:styleId="BalloonText">
    <w:name w:val="Balloon Text"/>
    <w:basedOn w:val="Normal"/>
    <w:link w:val="BalloonTextChar"/>
    <w:uiPriority w:val="99"/>
    <w:semiHidden/>
    <w:unhideWhenUsed/>
    <w:rsid w:val="00802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525"/>
    <w:rPr>
      <w:rFonts w:ascii="Tahoma" w:hAnsi="Tahoma" w:cs="Tahoma"/>
      <w:sz w:val="16"/>
      <w:szCs w:val="16"/>
    </w:rPr>
  </w:style>
  <w:style w:type="character" w:styleId="Hyperlink">
    <w:name w:val="Hyperlink"/>
    <w:rsid w:val="00772821"/>
    <w:rPr>
      <w:rFonts w:ascii="Arial" w:hAnsi="Arial"/>
      <w:color w:val="0000FF"/>
      <w:sz w:val="22"/>
      <w:u w:val="single"/>
    </w:rPr>
  </w:style>
  <w:style w:type="paragraph" w:styleId="ListParagraph">
    <w:name w:val="List Paragraph"/>
    <w:basedOn w:val="Normal"/>
    <w:uiPriority w:val="34"/>
    <w:qFormat/>
    <w:rsid w:val="002C569D"/>
    <w:pPr>
      <w:ind w:left="720"/>
      <w:contextualSpacing/>
    </w:pPr>
  </w:style>
  <w:style w:type="character" w:styleId="CommentReference">
    <w:name w:val="annotation reference"/>
    <w:basedOn w:val="DefaultParagraphFont"/>
    <w:uiPriority w:val="99"/>
    <w:semiHidden/>
    <w:unhideWhenUsed/>
    <w:rsid w:val="00CB6382"/>
    <w:rPr>
      <w:sz w:val="16"/>
      <w:szCs w:val="16"/>
    </w:rPr>
  </w:style>
  <w:style w:type="paragraph" w:styleId="CommentText">
    <w:name w:val="annotation text"/>
    <w:basedOn w:val="Normal"/>
    <w:link w:val="CommentTextChar"/>
    <w:uiPriority w:val="99"/>
    <w:semiHidden/>
    <w:unhideWhenUsed/>
    <w:rsid w:val="00CB6382"/>
    <w:pPr>
      <w:spacing w:line="240" w:lineRule="auto"/>
    </w:pPr>
    <w:rPr>
      <w:sz w:val="20"/>
      <w:szCs w:val="20"/>
    </w:rPr>
  </w:style>
  <w:style w:type="character" w:customStyle="1" w:styleId="CommentTextChar">
    <w:name w:val="Comment Text Char"/>
    <w:basedOn w:val="DefaultParagraphFont"/>
    <w:link w:val="CommentText"/>
    <w:uiPriority w:val="99"/>
    <w:semiHidden/>
    <w:rsid w:val="00CB6382"/>
    <w:rPr>
      <w:sz w:val="20"/>
      <w:szCs w:val="20"/>
    </w:rPr>
  </w:style>
  <w:style w:type="paragraph" w:styleId="CommentSubject">
    <w:name w:val="annotation subject"/>
    <w:basedOn w:val="CommentText"/>
    <w:next w:val="CommentText"/>
    <w:link w:val="CommentSubjectChar"/>
    <w:uiPriority w:val="99"/>
    <w:semiHidden/>
    <w:unhideWhenUsed/>
    <w:rsid w:val="00CB6382"/>
    <w:rPr>
      <w:b/>
      <w:bCs/>
    </w:rPr>
  </w:style>
  <w:style w:type="character" w:customStyle="1" w:styleId="CommentSubjectChar">
    <w:name w:val="Comment Subject Char"/>
    <w:basedOn w:val="CommentTextChar"/>
    <w:link w:val="CommentSubject"/>
    <w:uiPriority w:val="99"/>
    <w:semiHidden/>
    <w:rsid w:val="00CB63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do.childrenshospital.org/technology-development-fund/gra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chnology.Development@Childrens.Harvard.edu" TargetMode="External"/><Relationship Id="rId4" Type="http://schemas.openxmlformats.org/officeDocument/2006/relationships/settings" Target="settings.xml"/><Relationship Id="rId9" Type="http://schemas.openxmlformats.org/officeDocument/2006/relationships/hyperlink" Target="http://tido.childrenshospital.org/technology-development-fund/gra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Children's Hospital, Boston</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Unger, Meridith</dc:creator>
  <cp:lastModifiedBy>Khadija Elabid</cp:lastModifiedBy>
  <cp:revision>6</cp:revision>
  <cp:lastPrinted>2017-01-10T15:33:00Z</cp:lastPrinted>
  <dcterms:created xsi:type="dcterms:W3CDTF">2018-01-05T15:29:00Z</dcterms:created>
  <dcterms:modified xsi:type="dcterms:W3CDTF">2019-12-12T19:52:00Z</dcterms:modified>
</cp:coreProperties>
</file>